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F4" w:rsidRDefault="000011F4">
      <w:pPr>
        <w:rPr>
          <w:rFonts w:hint="eastAsia"/>
          <w:lang w:eastAsia="zh-Hans"/>
        </w:rPr>
      </w:pPr>
      <w:bookmarkStart w:id="0" w:name="_GoBack"/>
      <w:bookmarkEnd w:id="0"/>
    </w:p>
    <w:p w:rsidR="000011F4" w:rsidRDefault="00C30F17">
      <w:r>
        <w:rPr>
          <w:b/>
          <w:sz w:val="24"/>
        </w:rPr>
        <w:t>附表一：空气净化功能涂覆材料环境试验舱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429"/>
        <w:gridCol w:w="5814"/>
      </w:tblGrid>
      <w:tr w:rsidR="000011F4">
        <w:tc>
          <w:tcPr>
            <w:tcW w:w="2076" w:type="dxa"/>
          </w:tcPr>
          <w:p w:rsidR="000011F4" w:rsidRDefault="00C30F17">
            <w:r>
              <w:t>参数性质</w:t>
            </w:r>
          </w:p>
        </w:tc>
        <w:tc>
          <w:tcPr>
            <w:tcW w:w="415" w:type="dxa"/>
          </w:tcPr>
          <w:p w:rsidR="000011F4" w:rsidRDefault="00C30F17">
            <w:r>
              <w:t>序号</w:t>
            </w:r>
          </w:p>
        </w:tc>
        <w:tc>
          <w:tcPr>
            <w:tcW w:w="5814" w:type="dxa"/>
          </w:tcPr>
          <w:p w:rsidR="000011F4" w:rsidRDefault="00C30F17">
            <w:r>
              <w:t>具体技术</w:t>
            </w:r>
            <w:r>
              <w:t>(</w:t>
            </w:r>
            <w:r>
              <w:t>参数</w:t>
            </w:r>
            <w:r>
              <w:t>)</w:t>
            </w:r>
            <w:r>
              <w:t>要求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1</w:t>
            </w:r>
          </w:p>
        </w:tc>
        <w:tc>
          <w:tcPr>
            <w:tcW w:w="5814" w:type="dxa"/>
          </w:tcPr>
          <w:p w:rsidR="000011F4" w:rsidRDefault="00C30F17">
            <w:r>
              <w:t>1</w:t>
            </w:r>
            <w:r>
              <w:t>、设备用途：用于空气净化功能材料对甲醛、甲苯、</w:t>
            </w:r>
            <w:r>
              <w:t>VOC</w:t>
            </w:r>
            <w:r>
              <w:t>等污染物质的净化效率及净化持久性的检测，符合标准</w:t>
            </w:r>
            <w:r>
              <w:t>JC/T 1074-2021</w:t>
            </w:r>
            <w:r>
              <w:t>《室内空气净化功能涂覆材料净化性能》、</w:t>
            </w:r>
            <w:r>
              <w:t>JC/T 2177-2021</w:t>
            </w:r>
            <w:r>
              <w:t>《硅藻泥装饰壁材》的使用要求。</w:t>
            </w:r>
          </w:p>
        </w:tc>
      </w:tr>
      <w:tr w:rsidR="000011F4">
        <w:tc>
          <w:tcPr>
            <w:tcW w:w="2076" w:type="dxa"/>
          </w:tcPr>
          <w:p w:rsidR="000011F4" w:rsidRDefault="00C30F17">
            <w:r>
              <w:t>★</w:t>
            </w:r>
          </w:p>
        </w:tc>
        <w:tc>
          <w:tcPr>
            <w:tcW w:w="415" w:type="dxa"/>
          </w:tcPr>
          <w:p w:rsidR="000011F4" w:rsidRDefault="00C30F17">
            <w:r>
              <w:t>2</w:t>
            </w:r>
          </w:p>
        </w:tc>
        <w:tc>
          <w:tcPr>
            <w:tcW w:w="5814" w:type="dxa"/>
          </w:tcPr>
          <w:p w:rsidR="000011F4" w:rsidRDefault="00C30F17">
            <w:r>
              <w:t>★2.1</w:t>
            </w:r>
            <w:r>
              <w:t>试验舱容积：</w:t>
            </w:r>
            <w:r>
              <w:t>1m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C30F17">
            <w:r>
              <w:t>★</w:t>
            </w:r>
          </w:p>
        </w:tc>
        <w:tc>
          <w:tcPr>
            <w:tcW w:w="415" w:type="dxa"/>
          </w:tcPr>
          <w:p w:rsidR="000011F4" w:rsidRDefault="00C30F17">
            <w:r>
              <w:t>3</w:t>
            </w:r>
          </w:p>
        </w:tc>
        <w:tc>
          <w:tcPr>
            <w:tcW w:w="5814" w:type="dxa"/>
          </w:tcPr>
          <w:p w:rsidR="000011F4" w:rsidRDefault="00C30F17">
            <w:r>
              <w:t>★2.2</w:t>
            </w:r>
            <w:r>
              <w:t>试验舱内壁尺寸：</w:t>
            </w:r>
            <w:r>
              <w:t>1250mm×800mm×1000mm</w:t>
            </w:r>
            <w: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4</w:t>
            </w:r>
          </w:p>
        </w:tc>
        <w:tc>
          <w:tcPr>
            <w:tcW w:w="5814" w:type="dxa"/>
          </w:tcPr>
          <w:p w:rsidR="000011F4" w:rsidRDefault="00C30F17">
            <w:r>
              <w:t>2.3</w:t>
            </w:r>
            <w:r>
              <w:t>试验舱材质：采用不产生、不吸附甲醛和甲苯的</w:t>
            </w:r>
            <w:r>
              <w:t>304</w:t>
            </w:r>
            <w:r>
              <w:t>不锈钢（镜面抛光）整体焊接，内壁外观应平整光滑，色泽均匀，不得有露底、起层、鼓泡、划痕，所有的边、角均制成一定弧度，可用水洗清洁，不锈钢板厚度不小于</w:t>
            </w:r>
            <w:r>
              <w:t>1.5mm</w:t>
            </w:r>
            <w:r>
              <w:t>，内壁板之间的搭接处采用无缝焊接，焊接处及周围抛光、无变形，焊接后不残留甲醛和甲苯，使用的焊接材料、密封材料和其它与测试舱内空气接触的器件，应不产生、不吸附甲醛和甲苯，对检测无干扰</w:t>
            </w:r>
            <w:r>
              <w:t xml:space="preserve"> </w:t>
            </w:r>
            <w: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5</w:t>
            </w:r>
          </w:p>
        </w:tc>
        <w:tc>
          <w:tcPr>
            <w:tcW w:w="5814" w:type="dxa"/>
          </w:tcPr>
          <w:p w:rsidR="000011F4" w:rsidRDefault="00C30F17">
            <w:r>
              <w:t>2.4</w:t>
            </w:r>
            <w:r>
              <w:t>门密封结构：聚四氟包覆弹性体结构，舱内防积聚、沉降的圆弧或斜角设计；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6</w:t>
            </w:r>
          </w:p>
        </w:tc>
        <w:tc>
          <w:tcPr>
            <w:tcW w:w="5814" w:type="dxa"/>
          </w:tcPr>
          <w:p w:rsidR="000011F4" w:rsidRDefault="00C30F17">
            <w:r>
              <w:t>2.5</w:t>
            </w:r>
            <w:r>
              <w:t>具有</w:t>
            </w:r>
            <w:r>
              <w:t>2</w:t>
            </w:r>
            <w:r>
              <w:t>个送气口，</w:t>
            </w:r>
            <w:r>
              <w:t>带阀门，位于试验舱侧面，两个送气口间距不小于</w:t>
            </w:r>
            <w:r>
              <w:t>20cm</w:t>
            </w:r>
            <w:r>
              <w:t>；具有</w:t>
            </w:r>
            <w:r>
              <w:t>2</w:t>
            </w:r>
            <w:r>
              <w:t>个采气口，带阀门，位于试验舱送气口侧面的对面，两个采气口间距不小于</w:t>
            </w:r>
            <w:r>
              <w:t>20cm</w:t>
            </w:r>
            <w: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7</w:t>
            </w:r>
          </w:p>
        </w:tc>
        <w:tc>
          <w:tcPr>
            <w:tcW w:w="5814" w:type="dxa"/>
          </w:tcPr>
          <w:p w:rsidR="000011F4" w:rsidRDefault="00C30F17">
            <w:r>
              <w:t>2.6</w:t>
            </w:r>
            <w:r>
              <w:t>可见光源：试验舱顶部中心位置安装有</w:t>
            </w:r>
            <w:r>
              <w:t>1</w:t>
            </w:r>
            <w:r>
              <w:t>只</w:t>
            </w:r>
            <w:r>
              <w:t>16W</w:t>
            </w:r>
            <w:r>
              <w:t>的</w:t>
            </w:r>
            <w:r>
              <w:t>LED</w:t>
            </w:r>
            <w:r>
              <w:t>灯，色温</w:t>
            </w:r>
            <w:r>
              <w:t>6500K</w:t>
            </w:r>
            <w:r>
              <w:t>白光，在各样板中心位置的照度的算术平均值在</w:t>
            </w:r>
            <w:r>
              <w:t>1000Lx</w:t>
            </w:r>
            <w:r>
              <w:t>～</w:t>
            </w:r>
            <w:r>
              <w:t>1200Lx</w:t>
            </w:r>
            <w:r>
              <w:t>范围内；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8</w:t>
            </w:r>
          </w:p>
        </w:tc>
        <w:tc>
          <w:tcPr>
            <w:tcW w:w="5814" w:type="dxa"/>
          </w:tcPr>
          <w:p w:rsidR="000011F4" w:rsidRDefault="00C30F17">
            <w:r>
              <w:t>2.7</w:t>
            </w:r>
            <w:r>
              <w:t>紫外光源：</w:t>
            </w:r>
            <w:r>
              <w:t>20W</w:t>
            </w:r>
            <w:r>
              <w:t>紫外灯</w:t>
            </w:r>
            <w:r>
              <w:t>1</w:t>
            </w:r>
            <w:r>
              <w:t>支，波长</w:t>
            </w:r>
            <w:r>
              <w:t>365nm</w:t>
            </w:r>
            <w:r>
              <w:t>，在各样板中心位置的辐照度的算术平均值在</w:t>
            </w:r>
            <w:r>
              <w:t>50μm/cm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～</w:t>
            </w:r>
            <w:r>
              <w:rPr>
                <w:color w:val="000000"/>
                <w:sz w:val="24"/>
              </w:rPr>
              <w:t>60μm/cm</w:t>
            </w:r>
            <w:r>
              <w:rPr>
                <w:color w:val="000000"/>
                <w:sz w:val="24"/>
                <w:vertAlign w:val="superscript"/>
              </w:rPr>
              <w:t>2</w:t>
            </w:r>
            <w:r>
              <w:rPr>
                <w:color w:val="000000"/>
                <w:sz w:val="24"/>
              </w:rPr>
              <w:t>范围内；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9</w:t>
            </w:r>
          </w:p>
        </w:tc>
        <w:tc>
          <w:tcPr>
            <w:tcW w:w="5814" w:type="dxa"/>
          </w:tcPr>
          <w:p w:rsidR="000011F4" w:rsidRDefault="00C30F17">
            <w:r>
              <w:t>2.8</w:t>
            </w:r>
            <w:r>
              <w:t>搅拌风扇：半径</w:t>
            </w:r>
            <w:r>
              <w:t>7cm</w:t>
            </w:r>
            <w:r>
              <w:t>～</w:t>
            </w:r>
            <w:r>
              <w:t>10cm</w:t>
            </w:r>
            <w:r>
              <w:t>，三叶，转速</w:t>
            </w:r>
            <w:r>
              <w:t>≥5r/s</w:t>
            </w:r>
            <w:r>
              <w:t>，转速可调，表面不会吸附甲醛、甲苯；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10</w:t>
            </w:r>
          </w:p>
        </w:tc>
        <w:tc>
          <w:tcPr>
            <w:tcW w:w="5814" w:type="dxa"/>
          </w:tcPr>
          <w:p w:rsidR="000011F4" w:rsidRDefault="00C30F17">
            <w:r>
              <w:t>2.9</w:t>
            </w:r>
            <w:r>
              <w:t>样板架：提供</w:t>
            </w:r>
            <w:r>
              <w:t>4</w:t>
            </w:r>
            <w:r>
              <w:t>个样板架，</w:t>
            </w:r>
            <w:r>
              <w:t>304</w:t>
            </w:r>
            <w:r>
              <w:t>不锈钢材质，样板与试验舱内侧面成</w:t>
            </w:r>
            <w:r>
              <w:t>20°</w:t>
            </w:r>
            <w:r>
              <w:t>～</w:t>
            </w:r>
            <w:r>
              <w:t>40°</w:t>
            </w:r>
            <w:r>
              <w:t>，样板距离舱底部</w:t>
            </w:r>
            <w:r>
              <w:t>300mm</w:t>
            </w:r>
            <w: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C30F17">
            <w:r>
              <w:t>▲</w:t>
            </w:r>
          </w:p>
        </w:tc>
        <w:tc>
          <w:tcPr>
            <w:tcW w:w="415" w:type="dxa"/>
          </w:tcPr>
          <w:p w:rsidR="000011F4" w:rsidRDefault="00C30F17">
            <w:r>
              <w:t>11</w:t>
            </w:r>
          </w:p>
        </w:tc>
        <w:tc>
          <w:tcPr>
            <w:tcW w:w="5814" w:type="dxa"/>
          </w:tcPr>
          <w:p w:rsidR="000011F4" w:rsidRDefault="00C30F17">
            <w:r>
              <w:t>▲2.10</w:t>
            </w:r>
            <w:r>
              <w:t>试验舱温度范围：</w:t>
            </w:r>
            <w:r>
              <w:t>20℃</w:t>
            </w:r>
            <w:r>
              <w:t>～</w:t>
            </w:r>
            <w:r>
              <w:t>30℃</w:t>
            </w:r>
            <w:r>
              <w:t>，调节精度：</w:t>
            </w:r>
            <w:r>
              <w:t xml:space="preserve"> 0.1℃</w:t>
            </w:r>
            <w:r>
              <w:t>，温度偏差：</w:t>
            </w:r>
            <w:r>
              <w:t>±1.0℃</w:t>
            </w:r>
            <w:r>
              <w:t>，温度波动度：</w:t>
            </w:r>
            <w:r>
              <w:t>±1.0℃</w:t>
            </w:r>
            <w:r>
              <w:t>，温度均匀度：</w:t>
            </w:r>
            <w:r>
              <w:t>≤2.0℃</w:t>
            </w:r>
            <w: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C30F17">
            <w:r>
              <w:t>▲</w:t>
            </w:r>
          </w:p>
        </w:tc>
        <w:tc>
          <w:tcPr>
            <w:tcW w:w="415" w:type="dxa"/>
          </w:tcPr>
          <w:p w:rsidR="000011F4" w:rsidRDefault="00C30F17">
            <w:r>
              <w:t>12</w:t>
            </w:r>
          </w:p>
        </w:tc>
        <w:tc>
          <w:tcPr>
            <w:tcW w:w="5814" w:type="dxa"/>
          </w:tcPr>
          <w:p w:rsidR="000011F4" w:rsidRDefault="00C30F17">
            <w:r>
              <w:t>▲2.11</w:t>
            </w:r>
            <w:r>
              <w:t>试验舱湿度范围：</w:t>
            </w:r>
            <w:r>
              <w:t>40%</w:t>
            </w:r>
            <w:r>
              <w:t>～</w:t>
            </w:r>
            <w:r>
              <w:t>70%</w:t>
            </w:r>
            <w:r>
              <w:t>，调节精度：</w:t>
            </w:r>
            <w:r>
              <w:t>0.1%</w:t>
            </w:r>
            <w:r>
              <w:t>，湿度偏差：</w:t>
            </w:r>
            <w:r>
              <w:t>±3.0%</w:t>
            </w:r>
            <w:r>
              <w:t>，湿度波动度：</w:t>
            </w:r>
            <w:r>
              <w:t>±3.0%</w:t>
            </w:r>
            <w:r>
              <w:t>，湿度均匀度：</w:t>
            </w:r>
            <w:r>
              <w:t>≤7.0%</w:t>
            </w:r>
            <w: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C30F17">
            <w:r>
              <w:t>▲</w:t>
            </w:r>
          </w:p>
        </w:tc>
        <w:tc>
          <w:tcPr>
            <w:tcW w:w="415" w:type="dxa"/>
          </w:tcPr>
          <w:p w:rsidR="000011F4" w:rsidRDefault="00C30F17">
            <w:r>
              <w:t>13</w:t>
            </w:r>
          </w:p>
        </w:tc>
        <w:tc>
          <w:tcPr>
            <w:tcW w:w="5814" w:type="dxa"/>
          </w:tcPr>
          <w:p w:rsidR="000011F4" w:rsidRDefault="00C30F17">
            <w:r>
              <w:t>▲2.12</w:t>
            </w:r>
            <w:r>
              <w:t>本底浓度要求：甲醛浓度小于</w:t>
            </w:r>
            <w:r>
              <w:t>0.01mg/m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，甲苯浓度小于</w:t>
            </w:r>
            <w:r>
              <w:rPr>
                <w:color w:val="000000"/>
                <w:sz w:val="24"/>
              </w:rPr>
              <w:t>0.01mg/m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14</w:t>
            </w:r>
          </w:p>
        </w:tc>
        <w:tc>
          <w:tcPr>
            <w:tcW w:w="5814" w:type="dxa"/>
          </w:tcPr>
          <w:p w:rsidR="000011F4" w:rsidRDefault="00C30F17">
            <w:r>
              <w:t>2.13</w:t>
            </w:r>
            <w:r>
              <w:t>试验舱气密性：加压</w:t>
            </w:r>
            <w:r>
              <w:t>1kPa</w:t>
            </w:r>
            <w:r>
              <w:t>，舱内空气泄漏率</w:t>
            </w:r>
            <w:r>
              <w:t>VL≤0.5%×</w:t>
            </w:r>
            <w:r>
              <w:t>舱容</w:t>
            </w:r>
            <w:r>
              <w:t>/min</w:t>
            </w:r>
            <w: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C30F17">
            <w:r>
              <w:t>▲</w:t>
            </w:r>
          </w:p>
        </w:tc>
        <w:tc>
          <w:tcPr>
            <w:tcW w:w="415" w:type="dxa"/>
          </w:tcPr>
          <w:p w:rsidR="000011F4" w:rsidRDefault="00C30F17">
            <w:r>
              <w:t>15</w:t>
            </w:r>
          </w:p>
        </w:tc>
        <w:tc>
          <w:tcPr>
            <w:tcW w:w="5814" w:type="dxa"/>
          </w:tcPr>
          <w:p w:rsidR="000011F4" w:rsidRDefault="00C30F17">
            <w:r>
              <w:t>▲2.14</w:t>
            </w:r>
            <w:r>
              <w:t>单个试验舱的目标污染物浓度衰减要求：</w:t>
            </w:r>
            <w:r>
              <w:t>24</w:t>
            </w:r>
            <w:r>
              <w:t>小时甲醛衰减率</w:t>
            </w:r>
            <w:r>
              <w:t>R</w:t>
            </w:r>
            <w:r>
              <w:rPr>
                <w:color w:val="000000"/>
                <w:sz w:val="24"/>
              </w:rPr>
              <w:t>C≤20%</w:t>
            </w:r>
            <w:r>
              <w:rPr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>小时甲苯衰减率</w:t>
            </w:r>
            <w:r>
              <w:rPr>
                <w:color w:val="000000"/>
                <w:sz w:val="24"/>
              </w:rPr>
              <w:t>RC6≤20%</w:t>
            </w:r>
            <w:r>
              <w:rPr>
                <w:color w:val="000000"/>
                <w:sz w:val="24"/>
              </w:rP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16</w:t>
            </w:r>
          </w:p>
        </w:tc>
        <w:tc>
          <w:tcPr>
            <w:tcW w:w="5814" w:type="dxa"/>
          </w:tcPr>
          <w:p w:rsidR="000011F4" w:rsidRDefault="00C30F17">
            <w:r>
              <w:t>2.15</w:t>
            </w:r>
            <w:r>
              <w:t>任意两个试验舱内目标污染物浓度的标准差</w:t>
            </w:r>
            <w:r>
              <w:t>σ</w:t>
            </w:r>
            <w:r>
              <w:t>要求：标准</w:t>
            </w:r>
            <w:r>
              <w:lastRenderedPageBreak/>
              <w:t>差最大值</w:t>
            </w:r>
            <w:r>
              <w:t>σmax≤0.1mg/m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>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17</w:t>
            </w:r>
          </w:p>
        </w:tc>
        <w:tc>
          <w:tcPr>
            <w:tcW w:w="5814" w:type="dxa"/>
          </w:tcPr>
          <w:p w:rsidR="000011F4" w:rsidRDefault="00C30F17">
            <w:r>
              <w:t>2.16</w:t>
            </w:r>
            <w:r>
              <w:t>气体发生器：气体泵流量</w:t>
            </w:r>
            <w:r>
              <w:t>3L/min</w:t>
            </w:r>
            <w:r>
              <w:t>～</w:t>
            </w:r>
            <w:r>
              <w:t>4L/min</w:t>
            </w:r>
            <w:r>
              <w:t>，汽化温度</w:t>
            </w:r>
            <w:r>
              <w:t>50℃</w:t>
            </w:r>
            <w:r>
              <w:t>～</w:t>
            </w:r>
            <w:r>
              <w:t>60℃</w:t>
            </w:r>
            <w:r>
              <w:t>，气体发生室体积＜</w:t>
            </w:r>
            <w:r>
              <w:t>200cm</w:t>
            </w:r>
            <w:r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（气体发生器的气体发生室与试验舱形成闭合回路）；</w:t>
            </w:r>
          </w:p>
        </w:tc>
      </w:tr>
      <w:tr w:rsidR="000011F4">
        <w:tc>
          <w:tcPr>
            <w:tcW w:w="2076" w:type="dxa"/>
          </w:tcPr>
          <w:p w:rsidR="000011F4" w:rsidRDefault="00C30F17">
            <w:r>
              <w:t>▲</w:t>
            </w:r>
          </w:p>
        </w:tc>
        <w:tc>
          <w:tcPr>
            <w:tcW w:w="415" w:type="dxa"/>
          </w:tcPr>
          <w:p w:rsidR="000011F4" w:rsidRDefault="00C30F17">
            <w:r>
              <w:t>18</w:t>
            </w:r>
          </w:p>
        </w:tc>
        <w:tc>
          <w:tcPr>
            <w:tcW w:w="5814" w:type="dxa"/>
          </w:tcPr>
          <w:p w:rsidR="000011F4" w:rsidRDefault="00C30F17">
            <w:r>
              <w:t>▲2.17</w:t>
            </w:r>
            <w:r>
              <w:t>具备洁净空气置换装置和洁净空气处理系统连接口；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19</w:t>
            </w:r>
          </w:p>
        </w:tc>
        <w:tc>
          <w:tcPr>
            <w:tcW w:w="5814" w:type="dxa"/>
          </w:tcPr>
          <w:p w:rsidR="000011F4" w:rsidRDefault="00C30F17">
            <w:r>
              <w:t>2.18</w:t>
            </w:r>
            <w:r>
              <w:t>控制系统：采用高分辨率智能触摸屏控制器，一体化工控机，可以通过触摸屏来设置试验箱温度、湿度、工作时间、气体流量等参数。运行过程中的温度、湿度等参数可进行实时监控和数据储存，试验过程中各参数的历史数据、历史曲线可实时查询查看，也可以通过移动储存设备下载保存至电脑进行数据分析、编辑和查看存档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20</w:t>
            </w:r>
          </w:p>
        </w:tc>
        <w:tc>
          <w:tcPr>
            <w:tcW w:w="5814" w:type="dxa"/>
          </w:tcPr>
          <w:p w:rsidR="000011F4" w:rsidRDefault="00C30F17">
            <w:r>
              <w:t>2.19</w:t>
            </w:r>
            <w:r>
              <w:t>制冷系统：采用半导体电子制冷或其他制冷方式</w:t>
            </w:r>
            <w:r>
              <w:t>,</w:t>
            </w:r>
            <w:r>
              <w:t>要求节能低耗；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21</w:t>
            </w:r>
          </w:p>
        </w:tc>
        <w:tc>
          <w:tcPr>
            <w:tcW w:w="5814" w:type="dxa"/>
          </w:tcPr>
          <w:p w:rsidR="000011F4" w:rsidRDefault="00C30F17">
            <w:r>
              <w:t>2.20</w:t>
            </w:r>
            <w:r>
              <w:t>具有安全保护系统，包括：</w:t>
            </w:r>
            <w:r>
              <w:t>①</w:t>
            </w:r>
            <w:r>
              <w:t>制冷系统高压保护、过流保护；</w:t>
            </w:r>
            <w:r>
              <w:t>②</w:t>
            </w:r>
            <w:r>
              <w:t>加热器超温保护；</w:t>
            </w:r>
            <w:r>
              <w:t>③</w:t>
            </w:r>
            <w:r>
              <w:t>电机过流保护；</w:t>
            </w:r>
            <w:r>
              <w:t>④</w:t>
            </w:r>
            <w:r>
              <w:t>缺水保护；</w:t>
            </w:r>
            <w:r>
              <w:t>⑤</w:t>
            </w:r>
            <w:r>
              <w:t>空气泵过热、过</w:t>
            </w:r>
            <w:r>
              <w:t>流、超压保护；</w:t>
            </w:r>
            <w:r>
              <w:t>⑥</w:t>
            </w:r>
            <w:r>
              <w:t>电源欠相、相序保护；</w:t>
            </w:r>
            <w:r>
              <w:t>⑦</w:t>
            </w:r>
            <w:r>
              <w:t>电源过流、短路保护；</w:t>
            </w:r>
          </w:p>
        </w:tc>
      </w:tr>
      <w:tr w:rsidR="000011F4">
        <w:tc>
          <w:tcPr>
            <w:tcW w:w="2076" w:type="dxa"/>
          </w:tcPr>
          <w:p w:rsidR="000011F4" w:rsidRDefault="000011F4"/>
        </w:tc>
        <w:tc>
          <w:tcPr>
            <w:tcW w:w="415" w:type="dxa"/>
          </w:tcPr>
          <w:p w:rsidR="000011F4" w:rsidRDefault="00C30F17">
            <w:r>
              <w:t>22</w:t>
            </w:r>
          </w:p>
        </w:tc>
        <w:tc>
          <w:tcPr>
            <w:tcW w:w="5814" w:type="dxa"/>
          </w:tcPr>
          <w:p w:rsidR="000011F4" w:rsidRDefault="00C30F17">
            <w:r>
              <w:t>2.21</w:t>
            </w:r>
            <w:r>
              <w:t>噪声控制：正常运行条件下，噪声低于</w:t>
            </w:r>
            <w:r>
              <w:t>65Db</w:t>
            </w:r>
            <w:r>
              <w:rPr>
                <w:color w:val="943734"/>
                <w:sz w:val="24"/>
              </w:rPr>
              <w:t>。</w:t>
            </w:r>
          </w:p>
        </w:tc>
      </w:tr>
      <w:tr w:rsidR="000011F4">
        <w:tc>
          <w:tcPr>
            <w:tcW w:w="2076" w:type="dxa"/>
          </w:tcPr>
          <w:p w:rsidR="000011F4" w:rsidRDefault="00C30F17">
            <w:r>
              <w:t>说明</w:t>
            </w:r>
          </w:p>
        </w:tc>
        <w:tc>
          <w:tcPr>
            <w:tcW w:w="6229" w:type="dxa"/>
            <w:gridSpan w:val="2"/>
          </w:tcPr>
          <w:p w:rsidR="000011F4" w:rsidRDefault="00C30F17">
            <w:pPr>
              <w:jc w:val="left"/>
            </w:pPr>
            <w:r>
              <w:t>打</w:t>
            </w:r>
            <w:r>
              <w:t>“★”</w:t>
            </w:r>
            <w:r>
              <w:t>号条款为实质性条款，若有任何一条负偏离或不满足则导致投标（响应）无效。</w:t>
            </w:r>
            <w:r>
              <w:br/>
            </w:r>
            <w:r>
              <w:t>打</w:t>
            </w:r>
            <w:r>
              <w:t>“▲”</w:t>
            </w:r>
            <w:r>
              <w:t>号条款为重要技术参数（如有），若有部分</w:t>
            </w:r>
            <w:r>
              <w:t>“▲”</w:t>
            </w:r>
            <w:r>
              <w:t>条款未响应或不满足，将根据评审要求影响其得分，但不作为无效投标（响应）条款。</w:t>
            </w:r>
          </w:p>
        </w:tc>
      </w:tr>
    </w:tbl>
    <w:p w:rsidR="000011F4" w:rsidRDefault="000011F4"/>
    <w:p w:rsidR="000011F4" w:rsidRDefault="000011F4">
      <w:pPr>
        <w:ind w:firstLine="480"/>
      </w:pPr>
    </w:p>
    <w:p w:rsidR="000011F4" w:rsidRDefault="000011F4">
      <w:pPr>
        <w:rPr>
          <w:lang w:eastAsia="zh-Hans"/>
        </w:rPr>
      </w:pPr>
    </w:p>
    <w:sectPr w:rsidR="00001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F17" w:rsidRDefault="00C30F17" w:rsidP="002C76F2">
      <w:r>
        <w:separator/>
      </w:r>
    </w:p>
  </w:endnote>
  <w:endnote w:type="continuationSeparator" w:id="0">
    <w:p w:rsidR="00C30F17" w:rsidRDefault="00C30F17" w:rsidP="002C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F17" w:rsidRDefault="00C30F17" w:rsidP="002C76F2">
      <w:r>
        <w:separator/>
      </w:r>
    </w:p>
  </w:footnote>
  <w:footnote w:type="continuationSeparator" w:id="0">
    <w:p w:rsidR="00C30F17" w:rsidRDefault="00C30F17" w:rsidP="002C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TgyZTc4YTAwMzIzZGQ1YzU3M2MyZTcyOWI0NDgifQ=="/>
  </w:docVars>
  <w:rsids>
    <w:rsidRoot w:val="53B52B8D"/>
    <w:rsid w:val="000011F4"/>
    <w:rsid w:val="002C76F2"/>
    <w:rsid w:val="00C30F17"/>
    <w:rsid w:val="177F50ED"/>
    <w:rsid w:val="2CCD201C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2D32AE-9D4D-4A60-B90C-384F23D5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76F2"/>
    <w:rPr>
      <w:kern w:val="2"/>
      <w:sz w:val="18"/>
      <w:szCs w:val="18"/>
    </w:rPr>
  </w:style>
  <w:style w:type="paragraph" w:styleId="a4">
    <w:name w:val="footer"/>
    <w:basedOn w:val="a"/>
    <w:link w:val="Char0"/>
    <w:rsid w:val="002C7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76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五块钱</dc:creator>
  <cp:lastModifiedBy>Anonymous</cp:lastModifiedBy>
  <cp:revision>2</cp:revision>
  <dcterms:created xsi:type="dcterms:W3CDTF">2022-04-08T19:57:00Z</dcterms:created>
  <dcterms:modified xsi:type="dcterms:W3CDTF">2022-06-27T01:14:00Z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DFB351C3F75B41E99C000BD714D9F3FA</vt:lpwstr>
  </property>
</Properties>
</file>